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8F20" w14:textId="4E7D72CA" w:rsidR="00225F10" w:rsidRDefault="007874B6">
      <w:pPr>
        <w:widowControl/>
        <w:spacing w:line="600" w:lineRule="exact"/>
        <w:jc w:val="left"/>
        <w:outlineLvl w:val="0"/>
        <w:rPr>
          <w:rFonts w:ascii="仿宋_GB2312" w:eastAsia="仿宋_GB2312"/>
          <w:b/>
          <w:sz w:val="30"/>
          <w:szCs w:val="30"/>
        </w:rPr>
      </w:pPr>
      <w:bookmarkStart w:id="0" w:name="_Toc127515114"/>
      <w:bookmarkStart w:id="1" w:name="_Toc15388"/>
      <w:r>
        <w:rPr>
          <w:rFonts w:ascii="仿宋_GB2312" w:eastAsia="仿宋_GB2312" w:hint="eastAsia"/>
          <w:b/>
          <w:sz w:val="30"/>
          <w:szCs w:val="30"/>
        </w:rPr>
        <w:t>附件3</w:t>
      </w:r>
      <w:bookmarkEnd w:id="0"/>
      <w:bookmarkEnd w:id="1"/>
    </w:p>
    <w:p w14:paraId="79F28102" w14:textId="77777777" w:rsidR="00225F10" w:rsidRDefault="00225F10">
      <w:pPr>
        <w:widowControl/>
        <w:spacing w:line="600" w:lineRule="exact"/>
        <w:jc w:val="left"/>
        <w:rPr>
          <w:rFonts w:ascii="仿宋_GB2312" w:eastAsia="仿宋_GB2312"/>
          <w:b/>
          <w:sz w:val="30"/>
          <w:szCs w:val="30"/>
        </w:rPr>
      </w:pPr>
    </w:p>
    <w:p w14:paraId="674C2761" w14:textId="77777777" w:rsidR="00225F10" w:rsidRDefault="007874B6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本次发行前后公司股本结构变动情况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307"/>
        <w:gridCol w:w="1026"/>
        <w:gridCol w:w="832"/>
        <w:gridCol w:w="1082"/>
        <w:gridCol w:w="1205"/>
        <w:gridCol w:w="1052"/>
        <w:gridCol w:w="1088"/>
      </w:tblGrid>
      <w:tr w:rsidR="00225F10" w14:paraId="6F6C28E6" w14:textId="77777777">
        <w:trPr>
          <w:trHeight w:val="408"/>
          <w:jc w:val="center"/>
        </w:trPr>
        <w:tc>
          <w:tcPr>
            <w:tcW w:w="1374" w:type="dxa"/>
            <w:vMerge w:val="restart"/>
            <w:vAlign w:val="center"/>
          </w:tcPr>
          <w:p w14:paraId="6F8FA59A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证券</w:t>
            </w:r>
          </w:p>
          <w:p w14:paraId="74D0FE54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品种</w:t>
            </w:r>
          </w:p>
        </w:tc>
        <w:tc>
          <w:tcPr>
            <w:tcW w:w="1319" w:type="dxa"/>
            <w:vMerge w:val="restart"/>
            <w:vAlign w:val="center"/>
          </w:tcPr>
          <w:p w14:paraId="10B9C040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与基础股票转换比例</w:t>
            </w:r>
          </w:p>
        </w:tc>
        <w:tc>
          <w:tcPr>
            <w:tcW w:w="1812" w:type="dxa"/>
            <w:gridSpan w:val="2"/>
            <w:vAlign w:val="center"/>
          </w:tcPr>
          <w:p w14:paraId="411101BC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本次发行前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对应的基础股票</w:t>
            </w:r>
          </w:p>
        </w:tc>
        <w:tc>
          <w:tcPr>
            <w:tcW w:w="2298" w:type="dxa"/>
            <w:gridSpan w:val="2"/>
            <w:vAlign w:val="center"/>
          </w:tcPr>
          <w:p w14:paraId="447C62C3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本次发行后对应的基础股票（未行使超额配售选择权）</w:t>
            </w:r>
          </w:p>
        </w:tc>
        <w:tc>
          <w:tcPr>
            <w:tcW w:w="2150" w:type="dxa"/>
            <w:gridSpan w:val="2"/>
            <w:vAlign w:val="center"/>
          </w:tcPr>
          <w:p w14:paraId="72E5A808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本次发行后对应的基础股票（全额行使超额配售选择权）</w:t>
            </w:r>
          </w:p>
        </w:tc>
      </w:tr>
      <w:tr w:rsidR="00225F10" w14:paraId="0A4EFF75" w14:textId="77777777">
        <w:trPr>
          <w:trHeight w:val="408"/>
          <w:jc w:val="center"/>
        </w:trPr>
        <w:tc>
          <w:tcPr>
            <w:tcW w:w="1374" w:type="dxa"/>
            <w:vMerge/>
            <w:vAlign w:val="center"/>
          </w:tcPr>
          <w:p w14:paraId="2369F246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319" w:type="dxa"/>
            <w:vMerge/>
            <w:vAlign w:val="center"/>
          </w:tcPr>
          <w:p w14:paraId="32801E81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781F01BE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数量</w:t>
            </w:r>
          </w:p>
          <w:p w14:paraId="5892CFC8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（万股）</w:t>
            </w:r>
          </w:p>
        </w:tc>
        <w:tc>
          <w:tcPr>
            <w:tcW w:w="780" w:type="dxa"/>
            <w:vAlign w:val="center"/>
          </w:tcPr>
          <w:p w14:paraId="133A0BF1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占比</w:t>
            </w:r>
          </w:p>
          <w:p w14:paraId="34E8DFB0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（%）</w:t>
            </w:r>
          </w:p>
        </w:tc>
        <w:tc>
          <w:tcPr>
            <w:tcW w:w="1088" w:type="dxa"/>
            <w:vAlign w:val="center"/>
          </w:tcPr>
          <w:p w14:paraId="64DA332F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数量</w:t>
            </w:r>
          </w:p>
          <w:p w14:paraId="21EA8085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（万股）</w:t>
            </w:r>
          </w:p>
        </w:tc>
        <w:tc>
          <w:tcPr>
            <w:tcW w:w="1210" w:type="dxa"/>
            <w:vAlign w:val="center"/>
          </w:tcPr>
          <w:p w14:paraId="3C513E1E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占比</w:t>
            </w:r>
          </w:p>
          <w:p w14:paraId="13C8C989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（%）</w:t>
            </w:r>
          </w:p>
        </w:tc>
        <w:tc>
          <w:tcPr>
            <w:tcW w:w="1058" w:type="dxa"/>
            <w:vAlign w:val="center"/>
          </w:tcPr>
          <w:p w14:paraId="18E84EEF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数量</w:t>
            </w:r>
          </w:p>
          <w:p w14:paraId="2328E936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（万股）</w:t>
            </w:r>
          </w:p>
        </w:tc>
        <w:tc>
          <w:tcPr>
            <w:tcW w:w="1092" w:type="dxa"/>
            <w:vAlign w:val="center"/>
          </w:tcPr>
          <w:p w14:paraId="738793E8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占比</w:t>
            </w:r>
          </w:p>
          <w:p w14:paraId="33421C93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（%）</w:t>
            </w:r>
          </w:p>
        </w:tc>
      </w:tr>
      <w:tr w:rsidR="00225F10" w14:paraId="2EC3A47A" w14:textId="77777777">
        <w:trPr>
          <w:jc w:val="center"/>
        </w:trPr>
        <w:tc>
          <w:tcPr>
            <w:tcW w:w="1374" w:type="dxa"/>
            <w:vAlign w:val="center"/>
          </w:tcPr>
          <w:p w14:paraId="13AAECFF" w14:textId="77777777" w:rsidR="00225F10" w:rsidRDefault="007874B6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1.境内存托凭证</w:t>
            </w:r>
          </w:p>
        </w:tc>
        <w:tc>
          <w:tcPr>
            <w:tcW w:w="1319" w:type="dxa"/>
            <w:vAlign w:val="center"/>
          </w:tcPr>
          <w:p w14:paraId="1F529CAC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3F514881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C57446C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2AE8A89F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3A9996E1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313E1BA4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6B73D9E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25F10" w14:paraId="0BE513C5" w14:textId="77777777">
        <w:trPr>
          <w:jc w:val="center"/>
        </w:trPr>
        <w:tc>
          <w:tcPr>
            <w:tcW w:w="1374" w:type="dxa"/>
            <w:vAlign w:val="center"/>
          </w:tcPr>
          <w:p w14:paraId="22899A23" w14:textId="77777777" w:rsidR="00225F10" w:rsidRDefault="007874B6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2.境外</w:t>
            </w:r>
            <w:r>
              <w:rPr>
                <w:rFonts w:ascii="仿宋_GB2312" w:eastAsia="仿宋_GB2312" w:hAnsi="宋体" w:hint="eastAsia"/>
                <w:szCs w:val="21"/>
              </w:rPr>
              <w:t>上市</w:t>
            </w:r>
            <w:r>
              <w:rPr>
                <w:rFonts w:ascii="仿宋_GB2312" w:eastAsia="仿宋_GB2312" w:hAnsi="宋体"/>
                <w:szCs w:val="21"/>
              </w:rPr>
              <w:t>存托凭证</w:t>
            </w:r>
            <w:r>
              <w:rPr>
                <w:rFonts w:ascii="仿宋_GB2312" w:eastAsia="仿宋_GB2312" w:hAnsi="宋体" w:hint="eastAsia"/>
                <w:szCs w:val="21"/>
              </w:rPr>
              <w:t>或股票</w:t>
            </w:r>
          </w:p>
        </w:tc>
        <w:tc>
          <w:tcPr>
            <w:tcW w:w="1319" w:type="dxa"/>
            <w:vAlign w:val="center"/>
          </w:tcPr>
          <w:p w14:paraId="13EB04F0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3A2924F5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77BA691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3DB1E12B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6C17F5F3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6E43687B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B0C249B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25F10" w14:paraId="3A86FE13" w14:textId="77777777">
        <w:trPr>
          <w:jc w:val="center"/>
        </w:trPr>
        <w:tc>
          <w:tcPr>
            <w:tcW w:w="1374" w:type="dxa"/>
            <w:vAlign w:val="center"/>
          </w:tcPr>
          <w:p w14:paraId="6E342EA7" w14:textId="77777777" w:rsidR="00225F10" w:rsidRDefault="007874B6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3.境外未上市基础股票</w:t>
            </w:r>
          </w:p>
        </w:tc>
        <w:tc>
          <w:tcPr>
            <w:tcW w:w="1319" w:type="dxa"/>
            <w:vAlign w:val="center"/>
          </w:tcPr>
          <w:p w14:paraId="62EE9E73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032" w:type="dxa"/>
            <w:vAlign w:val="center"/>
          </w:tcPr>
          <w:p w14:paraId="77417D43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66F6B3A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B715B87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66D0FA25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7A194ECE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7F12E38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25F10" w14:paraId="402F7B4C" w14:textId="77777777">
        <w:trPr>
          <w:jc w:val="center"/>
        </w:trPr>
        <w:tc>
          <w:tcPr>
            <w:tcW w:w="2693" w:type="dxa"/>
            <w:gridSpan w:val="2"/>
            <w:vAlign w:val="center"/>
          </w:tcPr>
          <w:p w14:paraId="67CDEFAC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合计</w:t>
            </w:r>
          </w:p>
        </w:tc>
        <w:tc>
          <w:tcPr>
            <w:tcW w:w="1032" w:type="dxa"/>
            <w:vAlign w:val="center"/>
          </w:tcPr>
          <w:p w14:paraId="62709258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3AB1349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250F9EC7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634B082A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50852539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EF1E01D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25F10" w14:paraId="6962E296" w14:textId="77777777">
        <w:trPr>
          <w:jc w:val="center"/>
        </w:trPr>
        <w:tc>
          <w:tcPr>
            <w:tcW w:w="2693" w:type="dxa"/>
            <w:gridSpan w:val="2"/>
            <w:vAlign w:val="center"/>
          </w:tcPr>
          <w:p w14:paraId="7899E660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股份类别</w:t>
            </w:r>
          </w:p>
        </w:tc>
        <w:tc>
          <w:tcPr>
            <w:tcW w:w="1812" w:type="dxa"/>
            <w:gridSpan w:val="2"/>
            <w:vAlign w:val="center"/>
          </w:tcPr>
          <w:p w14:paraId="4327F3ED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本次发行前</w:t>
            </w:r>
          </w:p>
        </w:tc>
        <w:tc>
          <w:tcPr>
            <w:tcW w:w="2298" w:type="dxa"/>
            <w:gridSpan w:val="2"/>
            <w:vAlign w:val="center"/>
          </w:tcPr>
          <w:p w14:paraId="6EC59918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本次发行后（未行使超额配售选择权）</w:t>
            </w:r>
          </w:p>
        </w:tc>
        <w:tc>
          <w:tcPr>
            <w:tcW w:w="2150" w:type="dxa"/>
            <w:gridSpan w:val="2"/>
            <w:vAlign w:val="center"/>
          </w:tcPr>
          <w:p w14:paraId="2D8F314B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本次发行后（全额行使超额配售选择权）</w:t>
            </w:r>
          </w:p>
        </w:tc>
      </w:tr>
      <w:tr w:rsidR="00225F10" w14:paraId="55A58308" w14:textId="77777777">
        <w:trPr>
          <w:jc w:val="center"/>
        </w:trPr>
        <w:tc>
          <w:tcPr>
            <w:tcW w:w="2693" w:type="dxa"/>
            <w:gridSpan w:val="2"/>
            <w:vAlign w:val="center"/>
          </w:tcPr>
          <w:p w14:paraId="119B7441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3C79A56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数量</w:t>
            </w:r>
          </w:p>
          <w:p w14:paraId="6B789BF9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（万股）</w:t>
            </w:r>
          </w:p>
        </w:tc>
        <w:tc>
          <w:tcPr>
            <w:tcW w:w="780" w:type="dxa"/>
            <w:vAlign w:val="center"/>
          </w:tcPr>
          <w:p w14:paraId="0D048B48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占比（%）</w:t>
            </w:r>
          </w:p>
        </w:tc>
        <w:tc>
          <w:tcPr>
            <w:tcW w:w="1088" w:type="dxa"/>
            <w:vAlign w:val="center"/>
          </w:tcPr>
          <w:p w14:paraId="02600B52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数量</w:t>
            </w:r>
          </w:p>
          <w:p w14:paraId="399F0B2D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（万股）</w:t>
            </w:r>
          </w:p>
        </w:tc>
        <w:tc>
          <w:tcPr>
            <w:tcW w:w="1210" w:type="dxa"/>
            <w:vAlign w:val="center"/>
          </w:tcPr>
          <w:p w14:paraId="257C94A5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占比</w:t>
            </w:r>
          </w:p>
          <w:p w14:paraId="375F3983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（%）</w:t>
            </w:r>
          </w:p>
        </w:tc>
        <w:tc>
          <w:tcPr>
            <w:tcW w:w="1058" w:type="dxa"/>
            <w:vAlign w:val="center"/>
          </w:tcPr>
          <w:p w14:paraId="5B2E1993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数量</w:t>
            </w:r>
          </w:p>
          <w:p w14:paraId="12980515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（万股）</w:t>
            </w:r>
          </w:p>
        </w:tc>
        <w:tc>
          <w:tcPr>
            <w:tcW w:w="1092" w:type="dxa"/>
            <w:vAlign w:val="center"/>
          </w:tcPr>
          <w:p w14:paraId="6D07A096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占比</w:t>
            </w:r>
          </w:p>
          <w:p w14:paraId="58A88FE7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（%）</w:t>
            </w:r>
          </w:p>
        </w:tc>
      </w:tr>
      <w:tr w:rsidR="00225F10" w14:paraId="02FAD9F1" w14:textId="77777777">
        <w:trPr>
          <w:jc w:val="center"/>
        </w:trPr>
        <w:tc>
          <w:tcPr>
            <w:tcW w:w="2693" w:type="dxa"/>
            <w:gridSpan w:val="2"/>
            <w:vAlign w:val="center"/>
          </w:tcPr>
          <w:p w14:paraId="49A0BC3F" w14:textId="77777777" w:rsidR="00225F10" w:rsidRDefault="007874B6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Cs w:val="21"/>
              </w:rPr>
              <w:t>1.普通股</w:t>
            </w:r>
          </w:p>
        </w:tc>
        <w:tc>
          <w:tcPr>
            <w:tcW w:w="1032" w:type="dxa"/>
            <w:vAlign w:val="center"/>
          </w:tcPr>
          <w:p w14:paraId="36629DC5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04B6317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672518A2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152EF04C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44C5559F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1728F93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225F10" w14:paraId="38E96E38" w14:textId="77777777">
        <w:trPr>
          <w:jc w:val="center"/>
        </w:trPr>
        <w:tc>
          <w:tcPr>
            <w:tcW w:w="2693" w:type="dxa"/>
            <w:gridSpan w:val="2"/>
            <w:vAlign w:val="center"/>
          </w:tcPr>
          <w:p w14:paraId="6C87965D" w14:textId="77777777" w:rsidR="00225F10" w:rsidRDefault="007874B6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Cs w:val="21"/>
              </w:rPr>
              <w:t>2.特别表决权股份（如有）</w:t>
            </w:r>
          </w:p>
        </w:tc>
        <w:tc>
          <w:tcPr>
            <w:tcW w:w="1032" w:type="dxa"/>
            <w:vAlign w:val="center"/>
          </w:tcPr>
          <w:p w14:paraId="28A0673F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CA5B73A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6C72EFA7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1060D3BB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6DA75C5C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88F34CD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225F10" w14:paraId="07B6FD7B" w14:textId="77777777">
        <w:trPr>
          <w:jc w:val="center"/>
        </w:trPr>
        <w:tc>
          <w:tcPr>
            <w:tcW w:w="2693" w:type="dxa"/>
            <w:gridSpan w:val="2"/>
            <w:vAlign w:val="center"/>
          </w:tcPr>
          <w:p w14:paraId="6E363AB3" w14:textId="77777777" w:rsidR="00225F10" w:rsidRDefault="007874B6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Cs w:val="21"/>
              </w:rPr>
              <w:t>3.其他类别股份（如有）</w:t>
            </w:r>
          </w:p>
        </w:tc>
        <w:tc>
          <w:tcPr>
            <w:tcW w:w="1032" w:type="dxa"/>
            <w:vAlign w:val="center"/>
          </w:tcPr>
          <w:p w14:paraId="3176D57F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6E93557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2BB01A08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1DE36D11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38DBD595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49D75A4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225F10" w14:paraId="0EE7BE49" w14:textId="77777777">
        <w:trPr>
          <w:jc w:val="center"/>
        </w:trPr>
        <w:tc>
          <w:tcPr>
            <w:tcW w:w="2693" w:type="dxa"/>
            <w:gridSpan w:val="2"/>
            <w:vAlign w:val="center"/>
          </w:tcPr>
          <w:p w14:paraId="1227168D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股份合计</w:t>
            </w:r>
          </w:p>
        </w:tc>
        <w:tc>
          <w:tcPr>
            <w:tcW w:w="1032" w:type="dxa"/>
            <w:vAlign w:val="center"/>
          </w:tcPr>
          <w:p w14:paraId="0098E1EA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41F7473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45C31A39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68D1D5C1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55022DEB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FA88449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 w14:paraId="5485B426" w14:textId="61D96684" w:rsidR="00225F10" w:rsidRDefault="00225F10" w:rsidP="002162DC">
      <w:pPr>
        <w:widowControl/>
        <w:jc w:val="left"/>
        <w:outlineLvl w:val="0"/>
      </w:pPr>
    </w:p>
    <w:sectPr w:rsidR="00225F10" w:rsidSect="00225F1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66D0" w14:textId="77777777" w:rsidR="003D3FDC" w:rsidRDefault="003D3FDC" w:rsidP="00225F10">
      <w:r>
        <w:separator/>
      </w:r>
    </w:p>
  </w:endnote>
  <w:endnote w:type="continuationSeparator" w:id="0">
    <w:p w14:paraId="62307C01" w14:textId="77777777" w:rsidR="003D3FDC" w:rsidRDefault="003D3FDC" w:rsidP="0022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8480" w14:textId="77777777" w:rsidR="00225F10" w:rsidRDefault="00225F10">
    <w:pPr>
      <w:pStyle w:val="a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874B6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2C16E1" w:rsidRPr="002C16E1">
      <w:rPr>
        <w:rFonts w:ascii="Times New Roman" w:hAnsi="Times New Roman"/>
        <w:noProof/>
        <w:sz w:val="24"/>
        <w:szCs w:val="24"/>
        <w:lang w:val="zh-CN"/>
      </w:rPr>
      <w:t>42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7DF8" w14:textId="77777777" w:rsidR="003D3FDC" w:rsidRDefault="003D3FDC" w:rsidP="00225F10">
      <w:r>
        <w:separator/>
      </w:r>
    </w:p>
  </w:footnote>
  <w:footnote w:type="continuationSeparator" w:id="0">
    <w:p w14:paraId="4CCBCFE6" w14:textId="77777777" w:rsidR="003D3FDC" w:rsidRDefault="003D3FDC" w:rsidP="0022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9E7"/>
    <w:multiLevelType w:val="multilevel"/>
    <w:tmpl w:val="057E59E7"/>
    <w:lvl w:ilvl="0">
      <w:start w:val="1"/>
      <w:numFmt w:val="chineseCountingThousand"/>
      <w:pStyle w:val="1"/>
      <w:lvlText w:val="第%1章"/>
      <w:lvlJc w:val="center"/>
      <w:pPr>
        <w:tabs>
          <w:tab w:val="left" w:pos="2411"/>
        </w:tabs>
        <w:ind w:left="241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>
      <w:start w:val="1"/>
      <w:numFmt w:val="chineseCountingThousand"/>
      <w:pStyle w:val="2"/>
      <w:lvlText w:val="第%2节"/>
      <w:lvlJc w:val="center"/>
      <w:pPr>
        <w:tabs>
          <w:tab w:val="left" w:pos="4395"/>
        </w:tabs>
        <w:ind w:left="4395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japaneseCounting"/>
      <w:lvlText w:val="（%4）"/>
      <w:lvlJc w:val="left"/>
      <w:pPr>
        <w:tabs>
          <w:tab w:val="left" w:pos="1980"/>
        </w:tabs>
        <w:ind w:left="1980" w:hanging="720"/>
      </w:pPr>
      <w:rPr>
        <w:rFonts w:hint="eastAsia"/>
        <w:lang w:val="en-US"/>
      </w:rPr>
    </w:lvl>
    <w:lvl w:ilvl="4">
      <w:start w:val="3"/>
      <w:numFmt w:val="japaneseCounting"/>
      <w:lvlText w:val="第%5节"/>
      <w:lvlJc w:val="left"/>
      <w:pPr>
        <w:ind w:left="2760" w:hanging="10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1D67951"/>
    <w:multiLevelType w:val="multilevel"/>
    <w:tmpl w:val="41D67951"/>
    <w:lvl w:ilvl="0">
      <w:start w:val="1"/>
      <w:numFmt w:val="japaneseCounting"/>
      <w:pStyle w:val="6"/>
      <w:lvlText w:val="第%1条"/>
      <w:lvlJc w:val="left"/>
      <w:pPr>
        <w:ind w:left="3114" w:hanging="420"/>
      </w:pPr>
      <w:rPr>
        <w:rFonts w:ascii="仿宋_GB2312" w:eastAsia="仿宋_GB2312" w:hAnsi="黑体" w:hint="eastAsia"/>
        <w:b w:val="0"/>
        <w:color w:val="auto"/>
        <w:sz w:val="30"/>
        <w:szCs w:val="30"/>
        <w:lang w:val="en-US"/>
      </w:rPr>
    </w:lvl>
    <w:lvl w:ilvl="1">
      <w:start w:val="1"/>
      <w:numFmt w:val="chineseCountingThousand"/>
      <w:lvlText w:val="(%2)"/>
      <w:lvlJc w:val="left"/>
      <w:pPr>
        <w:ind w:left="579" w:hanging="720"/>
      </w:pPr>
      <w:rPr>
        <w:rFonts w:hint="default"/>
        <w:lang w:val="en-US"/>
      </w:rPr>
    </w:lvl>
    <w:lvl w:ilvl="2">
      <w:start w:val="1"/>
      <w:numFmt w:val="japaneseCounting"/>
      <w:lvlText w:val="第%3节"/>
      <w:lvlJc w:val="left"/>
      <w:pPr>
        <w:ind w:left="709" w:hanging="72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ind w:left="1489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9" w:hanging="420"/>
      </w:pPr>
    </w:lvl>
    <w:lvl w:ilvl="5">
      <w:start w:val="1"/>
      <w:numFmt w:val="lowerRoman"/>
      <w:lvlText w:val="%6."/>
      <w:lvlJc w:val="right"/>
      <w:pPr>
        <w:ind w:left="1669" w:hanging="420"/>
      </w:pPr>
    </w:lvl>
    <w:lvl w:ilvl="6">
      <w:start w:val="1"/>
      <w:numFmt w:val="decimal"/>
      <w:lvlText w:val="%7."/>
      <w:lvlJc w:val="left"/>
      <w:pPr>
        <w:ind w:left="2089" w:hanging="420"/>
      </w:pPr>
    </w:lvl>
    <w:lvl w:ilvl="7">
      <w:start w:val="1"/>
      <w:numFmt w:val="lowerLetter"/>
      <w:lvlText w:val="%8)"/>
      <w:lvlJc w:val="left"/>
      <w:pPr>
        <w:ind w:left="2509" w:hanging="420"/>
      </w:pPr>
    </w:lvl>
    <w:lvl w:ilvl="8">
      <w:start w:val="1"/>
      <w:numFmt w:val="lowerRoman"/>
      <w:lvlText w:val="%9."/>
      <w:lvlJc w:val="right"/>
      <w:pPr>
        <w:ind w:left="2929" w:hanging="420"/>
      </w:pPr>
    </w:lvl>
  </w:abstractNum>
  <w:num w:numId="1" w16cid:durableId="1341857466">
    <w:abstractNumId w:val="0"/>
  </w:num>
  <w:num w:numId="2" w16cid:durableId="1169176496">
    <w:abstractNumId w:val="1"/>
  </w:num>
  <w:num w:numId="3" w16cid:durableId="1823293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4DD"/>
    <w:rsid w:val="0006207E"/>
    <w:rsid w:val="00107B53"/>
    <w:rsid w:val="00113B54"/>
    <w:rsid w:val="00114238"/>
    <w:rsid w:val="00141908"/>
    <w:rsid w:val="001D7AB2"/>
    <w:rsid w:val="002162DC"/>
    <w:rsid w:val="00225F10"/>
    <w:rsid w:val="00253832"/>
    <w:rsid w:val="00255130"/>
    <w:rsid w:val="002C16E1"/>
    <w:rsid w:val="003529F4"/>
    <w:rsid w:val="003B7E1E"/>
    <w:rsid w:val="003D3FDC"/>
    <w:rsid w:val="00421C10"/>
    <w:rsid w:val="00454D93"/>
    <w:rsid w:val="004854E9"/>
    <w:rsid w:val="00485977"/>
    <w:rsid w:val="004C10D9"/>
    <w:rsid w:val="004C114A"/>
    <w:rsid w:val="004E50DA"/>
    <w:rsid w:val="004F3498"/>
    <w:rsid w:val="00501E5F"/>
    <w:rsid w:val="0052594F"/>
    <w:rsid w:val="00552C5C"/>
    <w:rsid w:val="00555969"/>
    <w:rsid w:val="00562B4B"/>
    <w:rsid w:val="00572715"/>
    <w:rsid w:val="005F687E"/>
    <w:rsid w:val="006E130B"/>
    <w:rsid w:val="00734F1E"/>
    <w:rsid w:val="00743AB5"/>
    <w:rsid w:val="00767A6A"/>
    <w:rsid w:val="007874B6"/>
    <w:rsid w:val="007A5313"/>
    <w:rsid w:val="007F2E71"/>
    <w:rsid w:val="007F33A5"/>
    <w:rsid w:val="00801870"/>
    <w:rsid w:val="00836F74"/>
    <w:rsid w:val="008F59F5"/>
    <w:rsid w:val="00953740"/>
    <w:rsid w:val="00977A67"/>
    <w:rsid w:val="009E63E5"/>
    <w:rsid w:val="00B95BD8"/>
    <w:rsid w:val="00BA5941"/>
    <w:rsid w:val="00BD4E1A"/>
    <w:rsid w:val="00CB3981"/>
    <w:rsid w:val="00CD4125"/>
    <w:rsid w:val="00CE0732"/>
    <w:rsid w:val="00D115D8"/>
    <w:rsid w:val="00D334DD"/>
    <w:rsid w:val="00D46D91"/>
    <w:rsid w:val="00D66B57"/>
    <w:rsid w:val="00D96D60"/>
    <w:rsid w:val="00DD5DC0"/>
    <w:rsid w:val="00DF1296"/>
    <w:rsid w:val="00E55352"/>
    <w:rsid w:val="00E706A5"/>
    <w:rsid w:val="00E97651"/>
    <w:rsid w:val="00EE577D"/>
    <w:rsid w:val="00F346C9"/>
    <w:rsid w:val="00FC07E1"/>
    <w:rsid w:val="00FF6615"/>
    <w:rsid w:val="0A6A17CF"/>
    <w:rsid w:val="353E7091"/>
    <w:rsid w:val="3A5C6ECF"/>
    <w:rsid w:val="3B4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9C764"/>
  <w15:docId w15:val="{BB5F55F8-C1B4-4A90-A0D1-E8AB0C6B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5F10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25F1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225F10"/>
    <w:pPr>
      <w:jc w:val="left"/>
    </w:pPr>
    <w:rPr>
      <w:rFonts w:ascii="Calibri" w:eastAsia="宋体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5F10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25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25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225F10"/>
  </w:style>
  <w:style w:type="paragraph" w:styleId="ab">
    <w:name w:val="Normal (Web)"/>
    <w:basedOn w:val="a"/>
    <w:uiPriority w:val="99"/>
    <w:unhideWhenUsed/>
    <w:qFormat/>
    <w:rsid w:val="00225F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225F10"/>
    <w:rPr>
      <w:b/>
      <w:bCs/>
    </w:rPr>
  </w:style>
  <w:style w:type="character" w:styleId="ae">
    <w:name w:val="Hyperlink"/>
    <w:basedOn w:val="a0"/>
    <w:uiPriority w:val="99"/>
    <w:unhideWhenUsed/>
    <w:rsid w:val="00225F10"/>
    <w:rPr>
      <w:color w:val="0000FF" w:themeColor="hyperlink"/>
      <w:u w:val="single"/>
    </w:rPr>
  </w:style>
  <w:style w:type="character" w:styleId="af">
    <w:name w:val="annotation reference"/>
    <w:uiPriority w:val="99"/>
    <w:semiHidden/>
    <w:unhideWhenUsed/>
    <w:qFormat/>
    <w:rsid w:val="00225F10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225F1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25F1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25F1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225F10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f0">
    <w:name w:val="List Paragraph"/>
    <w:basedOn w:val="a"/>
    <w:uiPriority w:val="34"/>
    <w:qFormat/>
    <w:rsid w:val="00225F1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6">
    <w:name w:val="样式6"/>
    <w:basedOn w:val="a"/>
    <w:qFormat/>
    <w:rsid w:val="00225F10"/>
    <w:pPr>
      <w:keepNext/>
      <w:keepLines/>
      <w:numPr>
        <w:numId w:val="2"/>
      </w:numPr>
      <w:tabs>
        <w:tab w:val="left" w:pos="1418"/>
      </w:tabs>
      <w:adjustRightInd w:val="0"/>
      <w:spacing w:line="560" w:lineRule="exact"/>
      <w:ind w:left="420"/>
      <w:jc w:val="center"/>
      <w:textAlignment w:val="baseline"/>
      <w:outlineLvl w:val="0"/>
    </w:pPr>
    <w:rPr>
      <w:rFonts w:ascii="黑体" w:eastAsia="黑体" w:hAnsi="Arial Unicode MS" w:cs="Arial Unicode MS"/>
      <w:bCs/>
      <w:kern w:val="44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25F10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225F10"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sid w:val="00225F10"/>
    <w:rPr>
      <w:rFonts w:ascii="Calibri" w:eastAsia="宋体" w:hAnsi="Calibri" w:cs="Times New Roman"/>
      <w:b/>
      <w:bCs/>
    </w:rPr>
  </w:style>
  <w:style w:type="paragraph" w:customStyle="1" w:styleId="11">
    <w:name w:val="修订1"/>
    <w:hidden/>
    <w:uiPriority w:val="99"/>
    <w:semiHidden/>
    <w:qFormat/>
    <w:rsid w:val="00225F10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qFormat/>
    <w:rsid w:val="00225F10"/>
    <w:rPr>
      <w:rFonts w:asciiTheme="minorHAnsi" w:eastAsiaTheme="minorEastAsia" w:hAnsiTheme="minorHAnsi" w:cstheme="minorBidi"/>
    </w:rPr>
  </w:style>
  <w:style w:type="paragraph" w:customStyle="1" w:styleId="21">
    <w:name w:val="修订2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Revision"/>
    <w:hidden/>
    <w:uiPriority w:val="99"/>
    <w:unhideWhenUsed/>
    <w:rsid w:val="001D7AB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0FE5C-B3C3-49FE-98E5-9292F047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WenLiang Zhang</cp:lastModifiedBy>
  <cp:revision>3</cp:revision>
  <dcterms:created xsi:type="dcterms:W3CDTF">2025-03-20T02:59:00Z</dcterms:created>
  <dcterms:modified xsi:type="dcterms:W3CDTF">2025-04-10T13:47:00Z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74B019A250A04BBAB5409EB064851CC4_12</vt:lpwstr>
  </property>
</Properties>
</file>